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pPr>
      <w:r>
        <w:rPr>
          <w:rFonts w:cs="Cambria Math" w:ascii="Cambria Math" w:hAnsi="Cambria Math"/>
          <w:szCs w:val="24"/>
          <w:u w:val="single"/>
        </w:rPr>
        <w:t>ANEXO X – MINUTA DE CONTRATO</w:t>
      </w:r>
    </w:p>
    <w:p>
      <w:pPr>
        <w:pStyle w:val="ListParagraph"/>
        <w:numPr>
          <w:ilvl w:val="0"/>
          <w:numId w:val="1"/>
        </w:numPr>
        <w:jc w:val="center"/>
        <w:rPr/>
      </w:pPr>
      <w:r>
        <w:rPr>
          <w:rFonts w:cs="Cambria Math" w:ascii="Cambria Math" w:hAnsi="Cambria Math"/>
          <w:b/>
          <w:szCs w:val="24"/>
        </w:rPr>
        <w:t>Modalidade Nº 000/2025</w:t>
      </w:r>
    </w:p>
    <w:p>
      <w:pPr>
        <w:pStyle w:val="Normal"/>
        <w:numPr>
          <w:ilvl w:val="0"/>
          <w:numId w:val="0"/>
        </w:numPr>
        <w:ind w:left="432" w:hanging="0"/>
        <w:jc w:val="center"/>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atender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both"/>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t>CLÁUSULA NONA -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color w:val="FF0000"/>
          <w:u w:val="single"/>
        </w:rPr>
      </w:pPr>
      <w:r>
        <w:rPr>
          <w:rFonts w:ascii="Cambria Math" w:hAnsi="Cambria Math"/>
          <w:b/>
          <w:bCs/>
          <w:color w:val="FF0000"/>
          <w:u w:val="single"/>
        </w:rPr>
        <w:t>CLÁUSULA DÉCIMA - SUBCONTRATAÇÃO</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rFonts w:ascii="Cambria Math" w:hAnsi="Cambria Math"/>
        </w:rPr>
      </w:pPr>
      <w:r>
        <w:rPr>
          <w:rFonts w:ascii="Cambria Math" w:hAnsi="Cambria Math"/>
        </w:rPr>
        <w:t>a) Advertência;</w:t>
      </w:r>
    </w:p>
    <w:p>
      <w:pPr>
        <w:pStyle w:val="Normal"/>
        <w:spacing w:lineRule="auto" w:line="276"/>
        <w:jc w:val="both"/>
        <w:rPr>
          <w:rFonts w:ascii="Cambria Math" w:hAnsi="Cambria Math"/>
        </w:rPr>
      </w:pPr>
      <w:r>
        <w:rPr>
          <w:rFonts w:ascii="Cambria Math" w:hAnsi="Cambria Math"/>
        </w:rPr>
        <w:t>b) multa administrativa;</w:t>
      </w:r>
    </w:p>
    <w:p>
      <w:pPr>
        <w:pStyle w:val="Normal"/>
        <w:spacing w:lineRule="auto" w:line="276"/>
        <w:jc w:val="both"/>
        <w:rPr>
          <w:rFonts w:ascii="Cambria Math" w:hAnsi="Cambria Math"/>
        </w:rPr>
      </w:pPr>
      <w:r>
        <w:rPr>
          <w:rFonts w:ascii="Cambria Math" w:hAnsi="Cambria Math"/>
        </w:rPr>
        <w:t>c) impedimento de licitar e contratar com a Administração Pública;</w:t>
      </w:r>
    </w:p>
    <w:p>
      <w:pPr>
        <w:pStyle w:val="Normal"/>
        <w:spacing w:lineRule="auto" w:line="276"/>
        <w:jc w:val="both"/>
        <w:rPr>
          <w:rFonts w:ascii="Cambria Math" w:hAnsi="Cambria Math"/>
        </w:rPr>
      </w:pPr>
      <w:r>
        <w:rPr>
          <w:rFonts w:ascii="Cambria Math" w:hAnsi="Cambria Math"/>
        </w:rPr>
        <w:t>d) 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pPr>
        <w:pStyle w:val="Normal"/>
        <w:spacing w:lineRule="auto" w:line="276"/>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pPr>
        <w:pStyle w:val="Normal"/>
        <w:spacing w:lineRule="auto" w:line="276"/>
        <w:jc w:val="both"/>
        <w:rPr>
          <w:rFonts w:ascii="Cambria Math" w:hAnsi="Cambria Math"/>
        </w:rPr>
      </w:pPr>
      <w:r>
        <w:rPr>
          <w:rFonts w:ascii="Cambria Math" w:hAnsi="Cambria Math"/>
        </w:rPr>
        <w:t>c) 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Normal"/>
        <w:spacing w:lineRule="auto" w:line="276"/>
        <w:jc w:val="both"/>
        <w:rPr>
          <w:rFonts w:ascii="Cambria Math" w:hAnsi="Cambria Math"/>
        </w:rPr>
      </w:pPr>
      <w:r>
        <w:rPr>
          <w:rFonts w:ascii="Cambria Math" w:hAnsi="Cambria Math"/>
        </w:rPr>
        <w:t>a) multa que não excederá, em seu total, 30% (trinta por cento) do valor do contrato;</w:t>
      </w:r>
    </w:p>
    <w:p>
      <w:pPr>
        <w:pStyle w:val="Normal"/>
        <w:spacing w:lineRule="auto" w:line="276"/>
        <w:jc w:val="both"/>
        <w:rPr>
          <w:rFonts w:ascii="Cambria Math" w:hAnsi="Cambria Math"/>
        </w:rPr>
      </w:pPr>
      <w:r>
        <w:rPr>
          <w:rFonts w:ascii="Cambria Math" w:hAnsi="Cambria Math"/>
        </w:rPr>
        <w:t xml:space="preserve">b) poderá ser aplicada cumulativamente a qualquer outra; </w:t>
      </w:r>
    </w:p>
    <w:p>
      <w:pPr>
        <w:pStyle w:val="Normal"/>
        <w:spacing w:lineRule="auto" w:line="276"/>
        <w:jc w:val="both"/>
        <w:rPr>
          <w:rFonts w:ascii="Cambria Math" w:hAnsi="Cambria Math"/>
        </w:rPr>
      </w:pPr>
      <w:r>
        <w:rPr>
          <w:rFonts w:ascii="Cambria Math" w:hAnsi="Cambria Math"/>
        </w:rPr>
        <w:t>c) 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Normal"/>
        <w:spacing w:lineRule="auto" w:line="276"/>
        <w:jc w:val="both"/>
        <w:rPr>
          <w:rFonts w:ascii="Cambria Math" w:hAnsi="Cambria Math"/>
        </w:rPr>
      </w:pPr>
      <w:r>
        <w:rPr>
          <w:rFonts w:ascii="Cambria Math" w:hAnsi="Cambria Math"/>
        </w:rPr>
        <w:t>a) reparação integral do dano causado à Administração Pública;</w:t>
      </w:r>
    </w:p>
    <w:p>
      <w:pPr>
        <w:pStyle w:val="Normal"/>
        <w:spacing w:lineRule="auto" w:line="276"/>
        <w:jc w:val="both"/>
        <w:rPr>
          <w:rFonts w:ascii="Cambria Math" w:hAnsi="Cambria Math"/>
        </w:rPr>
      </w:pPr>
      <w:r>
        <w:rPr>
          <w:rFonts w:ascii="Cambria Math" w:hAnsi="Cambria Math"/>
        </w:rPr>
        <w:t>b) pagamento da multa;</w:t>
      </w:r>
    </w:p>
    <w:p>
      <w:pPr>
        <w:pStyle w:val="Normal"/>
        <w:spacing w:lineRule="auto" w:line="276"/>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rFonts w:ascii="Cambria Math" w:hAnsi="Cambria Math"/>
        </w:rPr>
      </w:pPr>
      <w:r>
        <w:rPr>
          <w:rFonts w:ascii="Cambria Math" w:hAnsi="Cambria Math"/>
        </w:rPr>
        <w:t>d) cumprimento das condições de reabilitação definidas no ato punitivo;</w:t>
      </w:r>
    </w:p>
    <w:p>
      <w:pPr>
        <w:pStyle w:val="Normal"/>
        <w:spacing w:lineRule="auto" w:line="276"/>
        <w:jc w:val="both"/>
        <w:rPr>
          <w:rFonts w:ascii="Cambria Math" w:hAnsi="Cambria Math"/>
        </w:rPr>
      </w:pPr>
      <w:r>
        <w:rPr>
          <w:rFonts w:ascii="Cambria Math" w:hAnsi="Cambria Math"/>
        </w:rPr>
        <w:t>e) 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 xml:space="preserve">CLÁUSULA DÉCIMA TERCEIRA -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Normal"/>
        <w:spacing w:lineRule="auto" w:line="276"/>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Normal"/>
        <w:spacing w:lineRule="auto" w:line="276"/>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pPr>
        <w:pStyle w:val="Normal"/>
        <w:spacing w:lineRule="auto" w:line="276"/>
        <w:jc w:val="both"/>
        <w:rPr>
          <w:rFonts w:ascii="Cambria Math" w:hAnsi="Cambria Math"/>
        </w:rPr>
      </w:pPr>
      <w:r>
        <w:rPr>
          <w:rFonts w:ascii="Cambria Math" w:hAnsi="Cambria Math"/>
        </w:rPr>
        <w:t xml:space="preserve">b) 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Normal"/>
        <w:spacing w:lineRule="auto" w:line="276"/>
        <w:jc w:val="both"/>
        <w:rPr>
          <w:rFonts w:ascii="Cambria Math" w:hAnsi="Cambria Math"/>
        </w:rPr>
      </w:pPr>
      <w:r>
        <w:rPr>
          <w:rFonts w:ascii="Cambria Math" w:hAnsi="Cambria Math"/>
        </w:rPr>
        <w:t>c) exercer a fiscalização do contrato;</w:t>
      </w:r>
    </w:p>
    <w:p>
      <w:pPr>
        <w:pStyle w:val="Normal"/>
        <w:spacing w:lineRule="auto" w:line="276"/>
        <w:jc w:val="both"/>
        <w:rPr>
          <w:rFonts w:ascii="Cambria Math" w:hAnsi="Cambria Math"/>
        </w:rPr>
      </w:pPr>
      <w:r>
        <w:rPr>
          <w:rFonts w:ascii="Cambria Math" w:hAnsi="Cambria Math"/>
        </w:rPr>
        <w:t>d) receber provisória e definitivamente o objeto do presente contrato.</w:t>
      </w:r>
    </w:p>
    <w:p>
      <w:pPr>
        <w:pStyle w:val="Normal"/>
        <w:spacing w:lineRule="auto" w:line="276"/>
        <w:jc w:val="both"/>
        <w:rPr>
          <w:rFonts w:ascii="Cambria Math" w:hAnsi="Cambria Math"/>
        </w:rPr>
      </w:pPr>
      <w:r>
        <w:rPr>
          <w:rFonts w:ascii="Cambria Math" w:hAnsi="Cambria Math"/>
        </w:rPr>
        <w:t>e) Exigir o cumprimento de todas as obrigações assumidas pelo Contratado, de acordo com o contrato e seus anexos;</w:t>
      </w:r>
    </w:p>
    <w:p>
      <w:pPr>
        <w:pStyle w:val="Normal"/>
        <w:spacing w:lineRule="auto" w:line="276"/>
        <w:jc w:val="both"/>
        <w:rPr>
          <w:rFonts w:ascii="Cambria Math" w:hAnsi="Cambria Math"/>
        </w:rPr>
      </w:pPr>
      <w:r>
        <w:rPr>
          <w:rFonts w:ascii="Cambria Math" w:hAnsi="Cambria Math"/>
        </w:rPr>
        <w:t>f) Receber o objeto no prazo e condições estabelecidas no Termo de Referência;</w:t>
      </w:r>
    </w:p>
    <w:p>
      <w:pPr>
        <w:pStyle w:val="Normal"/>
        <w:spacing w:lineRule="auto" w:line="276"/>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i) Acompanhar e fiscalizar a execução do contrato e o cumprimento das obrigações pelo Contratado;</w:t>
      </w:r>
    </w:p>
    <w:p>
      <w:pPr>
        <w:pStyle w:val="Normal"/>
        <w:spacing w:lineRule="auto" w:line="276"/>
        <w:jc w:val="both"/>
        <w:rPr>
          <w:rFonts w:ascii="Cambria Math" w:hAnsi="Cambria Math"/>
        </w:rPr>
      </w:pPr>
      <w:r>
        <w:rPr>
          <w:rFonts w:ascii="Cambria Math" w:hAnsi="Cambria Math"/>
        </w:rPr>
        <w:t xml:space="preserve">j) Aplicar ao Contratado as sanções previstas na lei e avençadas neste Contrato; </w:t>
      </w:r>
    </w:p>
    <w:p>
      <w:pPr>
        <w:pStyle w:val="Normal"/>
        <w:spacing w:lineRule="auto" w:line="276"/>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pPr>
        <w:pStyle w:val="Normal"/>
        <w:spacing w:lineRule="auto" w:line="276"/>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rFonts w:ascii="Cambria Math" w:hAnsi="Cambria Math"/>
        </w:rPr>
      </w:pPr>
      <w:r>
        <w:rPr>
          <w:rFonts w:ascii="Cambria Math" w:hAnsi="Cambria Math"/>
        </w:rPr>
        <w:t>o) A CONTRATANTE não deverá praticar atos de ingerência na administração do contratado, tais como (art. 48 da Lei n.º 14.133/2021);</w:t>
      </w:r>
    </w:p>
    <w:p>
      <w:pPr>
        <w:pStyle w:val="Normal"/>
        <w:spacing w:lineRule="auto" w:line="276"/>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Normal"/>
        <w:spacing w:lineRule="auto" w:line="276"/>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Normal"/>
        <w:spacing w:lineRule="auto" w:line="276"/>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Normal"/>
        <w:spacing w:lineRule="auto" w:line="276"/>
        <w:jc w:val="both"/>
        <w:rPr>
          <w:rFonts w:ascii="Cambria Math" w:hAnsi="Cambria Math"/>
        </w:rPr>
      </w:pPr>
      <w:r>
        <w:rPr>
          <w:rFonts w:ascii="Cambria Math" w:hAnsi="Cambria Math"/>
        </w:rPr>
        <w:t>a) ressarcimento da Administração Pública por prejuízos decorrentes da não execução;</w:t>
      </w:r>
    </w:p>
    <w:p>
      <w:pPr>
        <w:pStyle w:val="Normal"/>
        <w:spacing w:lineRule="auto" w:line="276"/>
        <w:jc w:val="both"/>
        <w:rPr>
          <w:rFonts w:ascii="Cambria Math" w:hAnsi="Cambria Math"/>
        </w:rPr>
      </w:pPr>
      <w:r>
        <w:rPr>
          <w:rFonts w:ascii="Cambria Math" w:hAnsi="Cambria Math"/>
        </w:rPr>
        <w:t>b) pagamento de verbas trabalhistas, fundiárias e previdenciárias, quando cabível;</w:t>
      </w:r>
    </w:p>
    <w:p>
      <w:pPr>
        <w:pStyle w:val="Normal"/>
        <w:spacing w:lineRule="auto" w:line="276"/>
        <w:jc w:val="both"/>
        <w:rPr>
          <w:rFonts w:ascii="Cambria Math" w:hAnsi="Cambria Math"/>
        </w:rPr>
      </w:pPr>
      <w:r>
        <w:rPr>
          <w:rFonts w:ascii="Cambria Math" w:hAnsi="Cambria Math"/>
        </w:rPr>
        <w:t>c) pagamento das multas devidas à Administração Pública;</w:t>
      </w:r>
    </w:p>
    <w:p>
      <w:pPr>
        <w:pStyle w:val="Normal"/>
        <w:spacing w:lineRule="auto" w:line="276"/>
        <w:jc w:val="both"/>
        <w:rPr>
          <w:rFonts w:ascii="Cambria Math" w:hAnsi="Cambria Math"/>
        </w:rPr>
      </w:pPr>
      <w:r>
        <w:rPr>
          <w:rFonts w:ascii="Cambria Math" w:hAnsi="Cambria Math"/>
        </w:rPr>
        <w:t>d) 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pPr>
        <w:pStyle w:val="Normal"/>
        <w:spacing w:lineRule="auto" w:line="276"/>
        <w:jc w:val="both"/>
        <w:rPr>
          <w:rFonts w:ascii="Cambria Math" w:hAnsi="Cambria Math"/>
        </w:rPr>
      </w:pPr>
      <w:r>
        <w:rPr>
          <w:rFonts w:ascii="Cambria Math" w:hAnsi="Cambria Math"/>
        </w:rPr>
        <w:t>d) É vedado o compartilhamento com terceiros dos dados obtidos fora das hipóteses permitidas em Lei.</w:t>
      </w:r>
    </w:p>
    <w:p>
      <w:pPr>
        <w:pStyle w:val="Normal"/>
        <w:spacing w:lineRule="auto" w:line="276"/>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Normal"/>
        <w:spacing w:lineRule="auto" w:line="276"/>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pPr>
        <w:pStyle w:val="Normal"/>
        <w:spacing w:lineRule="auto" w:line="276"/>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t>Rio Claro – RJ,_____de_________de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default" r:id="rId2"/>
      <w:footerReference w:type="default" r:id="rId3"/>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37740619"/>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7CA2DD7C">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7CA2DD7C">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0" distT="0" distB="0" distL="85725" distR="89535" simplePos="0" locked="0" layoutInCell="0" allowOverlap="1" relativeHeight="72" wp14:anchorId="219C303D">
              <wp:simplePos x="0" y="0"/>
              <wp:positionH relativeFrom="page">
                <wp:posOffset>5497830</wp:posOffset>
              </wp:positionH>
              <wp:positionV relativeFrom="page">
                <wp:posOffset>271145</wp:posOffset>
              </wp:positionV>
              <wp:extent cx="1787525" cy="1090930"/>
              <wp:effectExtent l="0" t="0" r="0" b="0"/>
              <wp:wrapSquare wrapText="bothSides"/>
              <wp:docPr id="3"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03</w:t>
                                </w:r>
                                <w:r>
                                  <w:rPr>
                                    <w:b/>
                                    <w:szCs w:val="24"/>
                                  </w:rPr>
                                  <w:t>67</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wp14:anchorId="219C303D">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03</w:t>
                          </w:r>
                          <w:r>
                            <w:rPr>
                              <w:b/>
                              <w:szCs w:val="24"/>
                            </w:rPr>
                            <w:t>67</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2" y="0"/>
              <wp:lineTo x="-212" y="21304"/>
              <wp:lineTo x="21544" y="21304"/>
              <wp:lineTo x="21544" y="0"/>
              <wp:lineTo x="-212"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before="0" w:after="0"/>
      <w:jc w:val="left"/>
    </w:pPr>
    <w:rPr>
      <w:rFonts w:ascii="Times New Roman" w:hAnsi="Times New Roman" w:eastAsia="Times New Roman" w:cs="Times New Roman"/>
      <w:color w:val="auto"/>
      <w:kern w:val="0"/>
      <w:sz w:val="24"/>
      <w:szCs w:val="20"/>
      <w:lang w:val="pt-BR" w:eastAsia="zh-CN"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ascii="Arial" w:hAnsi="Arial" w:cs="Lucida Sans"/>
    </w:rPr>
  </w:style>
  <w:style w:type="paragraph" w:styleId="Ttulododocumento">
    <w:name w:val="Title"/>
    <w:basedOn w:val="Normal"/>
    <w:next w:val="Corpodotexto"/>
    <w:qFormat/>
    <w:pPr>
      <w:keepNext w:val="true"/>
      <w:spacing w:before="240" w:after="120"/>
    </w:pPr>
    <w:rPr>
      <w:rFonts w:ascii="Arial" w:hAnsi="Arial" w:eastAsia="Microsoft YaHei" w:cs="Lucida Sans"/>
      <w:sz w:val="28"/>
      <w:szCs w:val="28"/>
    </w:rPr>
  </w:style>
  <w:style w:type="paragraph" w:styleId="Caption">
    <w:name w:val="caption"/>
    <w:basedOn w:val="Normal"/>
    <w:qFormat/>
    <w:pPr>
      <w:suppressLineNumbers/>
      <w:spacing w:before="120" w:after="120"/>
    </w:pPr>
    <w:rPr>
      <w:rFonts w:ascii="Arial" w:hAnsi="Arial" w:cs="Lucida Sans"/>
      <w:i/>
      <w:iCs/>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LibreOffice/7.3.4.2$Windows_X86_64 LibreOffice_project/728fec16bd5f605073805c3c9e7c4212a0120dc5</Application>
  <AppVersion>15.0000</AppVersion>
  <Pages>18</Pages>
  <Words>6512</Words>
  <Characters>37504</Characters>
  <CharactersWithSpaces>43859</CharactersWithSpaces>
  <Paragraphs>247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cp:lastPrinted>2025-05-22T19:05:00Z</cp:lastPrinted>
  <dcterms:modified xsi:type="dcterms:W3CDTF">2025-10-28T09:42:04Z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